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37" w:rsidRPr="00AE65DA" w:rsidRDefault="006A0B2B" w:rsidP="006A0B2B">
      <w:pPr>
        <w:jc w:val="center"/>
        <w:rPr>
          <w:b/>
          <w:sz w:val="32"/>
        </w:rPr>
      </w:pPr>
      <w:r w:rsidRPr="00AE65DA">
        <w:rPr>
          <w:b/>
          <w:sz w:val="32"/>
        </w:rPr>
        <w:t>LİS</w:t>
      </w:r>
      <w:r w:rsidR="00874C0B" w:rsidRPr="00AE65DA">
        <w:rPr>
          <w:b/>
          <w:sz w:val="32"/>
        </w:rPr>
        <w:t>ANSSIZ ÜRETİM TESİSLERİ MÜŞTERİ FORMU</w:t>
      </w:r>
    </w:p>
    <w:p w:rsidR="00DD5A1D" w:rsidRPr="00AE65DA" w:rsidRDefault="00DD5A1D" w:rsidP="00DD5A1D">
      <w:pPr>
        <w:pStyle w:val="ListeParagraf"/>
        <w:numPr>
          <w:ilvl w:val="0"/>
          <w:numId w:val="5"/>
        </w:numPr>
        <w:ind w:left="142" w:hanging="426"/>
        <w:rPr>
          <w:b/>
          <w:sz w:val="32"/>
        </w:rPr>
      </w:pPr>
      <w:r w:rsidRPr="00AE65DA">
        <w:rPr>
          <w:b/>
          <w:sz w:val="32"/>
        </w:rPr>
        <w:t>Başvuru, Anlaşma ve Sözleşme Süreci</w:t>
      </w:r>
    </w:p>
    <w:p w:rsidR="00DD5A1D" w:rsidRPr="00AE65DA" w:rsidRDefault="00DD5A1D" w:rsidP="00DD5A1D">
      <w:pPr>
        <w:pStyle w:val="ListeParagraf"/>
        <w:rPr>
          <w:b/>
          <w:sz w:val="32"/>
        </w:rPr>
      </w:pPr>
    </w:p>
    <w:p w:rsidR="006A0B2B" w:rsidRPr="00AE65DA" w:rsidRDefault="00772EDC" w:rsidP="005109BE">
      <w:pPr>
        <w:pStyle w:val="ListeParagraf"/>
        <w:numPr>
          <w:ilvl w:val="0"/>
          <w:numId w:val="3"/>
        </w:numPr>
        <w:ind w:left="142" w:right="-426"/>
        <w:rPr>
          <w:sz w:val="24"/>
          <w:szCs w:val="24"/>
        </w:rPr>
      </w:pPr>
      <w:r w:rsidRPr="00AE65DA">
        <w:rPr>
          <w:sz w:val="24"/>
          <w:szCs w:val="24"/>
        </w:rPr>
        <w:t xml:space="preserve">Kurulacak tesis ile ilgili başvurunun </w:t>
      </w:r>
      <w:r w:rsidR="000619CC" w:rsidRPr="00AE65DA">
        <w:rPr>
          <w:sz w:val="24"/>
          <w:szCs w:val="24"/>
        </w:rPr>
        <w:t xml:space="preserve">Dağıtıma Gömülü Santraller Süreç </w:t>
      </w:r>
      <w:r w:rsidR="005A4F31" w:rsidRPr="00AE65DA">
        <w:rPr>
          <w:sz w:val="24"/>
          <w:szCs w:val="24"/>
        </w:rPr>
        <w:t>Yöneticiliği</w:t>
      </w:r>
      <w:r w:rsidR="000619CC" w:rsidRPr="00AE65DA">
        <w:rPr>
          <w:sz w:val="24"/>
          <w:szCs w:val="24"/>
        </w:rPr>
        <w:t xml:space="preserve">ne </w:t>
      </w:r>
      <w:r w:rsidRPr="00AE65DA">
        <w:rPr>
          <w:sz w:val="24"/>
          <w:szCs w:val="24"/>
        </w:rPr>
        <w:t>yapılması</w:t>
      </w:r>
      <w:r w:rsidR="00DD5A1D" w:rsidRPr="00AE65DA">
        <w:rPr>
          <w:sz w:val="24"/>
          <w:szCs w:val="24"/>
        </w:rPr>
        <w:t xml:space="preserve"> </w:t>
      </w:r>
      <w:r w:rsidR="009A091C" w:rsidRPr="00AE65DA">
        <w:rPr>
          <w:sz w:val="24"/>
          <w:szCs w:val="24"/>
        </w:rPr>
        <w:t>(Adresler:</w:t>
      </w:r>
      <w:r w:rsidR="000619CC" w:rsidRPr="00AE65DA">
        <w:rPr>
          <w:sz w:val="24"/>
          <w:szCs w:val="24"/>
        </w:rPr>
        <w:t xml:space="preserve"> </w:t>
      </w:r>
      <w:r w:rsidR="005A4F31" w:rsidRPr="00AE65DA">
        <w:rPr>
          <w:sz w:val="24"/>
          <w:szCs w:val="24"/>
        </w:rPr>
        <w:t>Toroslar EDAŞ Genel Müdürlüğü, Cemalpaşa Mah. Cevat Yurdakul Cad. No:2 Seyhan / ADANA</w:t>
      </w:r>
      <w:r w:rsidR="009A091C" w:rsidRPr="00AE65DA">
        <w:rPr>
          <w:sz w:val="24"/>
          <w:szCs w:val="24"/>
        </w:rPr>
        <w:t>)</w:t>
      </w:r>
    </w:p>
    <w:p w:rsidR="00891493" w:rsidRPr="00AE65DA" w:rsidRDefault="00891493" w:rsidP="00891493">
      <w:pPr>
        <w:pStyle w:val="ListeParagraf"/>
        <w:numPr>
          <w:ilvl w:val="0"/>
          <w:numId w:val="3"/>
        </w:numPr>
        <w:ind w:left="142" w:right="-426"/>
        <w:rPr>
          <w:sz w:val="24"/>
          <w:szCs w:val="24"/>
        </w:rPr>
      </w:pPr>
      <w:r w:rsidRPr="00AE65DA">
        <w:rPr>
          <w:sz w:val="24"/>
          <w:szCs w:val="24"/>
        </w:rPr>
        <w:t>Başvuru yapıldıktan sonraki ayın 5’ine kadar evrak kontrolü(ön değerlendirme) ve evrak değerlendirme komisyonunu takip eden ayın 20’sine kadar teknik değerlendirmesinin yapılması ve sonrasında YEGM tarafından teknik değerlendirme formu onayları yapılan başvurulara “Çağrı Mektubu” verilmesi</w:t>
      </w:r>
    </w:p>
    <w:p w:rsidR="005A4F31" w:rsidRPr="00AE65DA" w:rsidRDefault="005A4F31" w:rsidP="005A4F31">
      <w:pPr>
        <w:pStyle w:val="ListeParagraf"/>
        <w:numPr>
          <w:ilvl w:val="0"/>
          <w:numId w:val="3"/>
        </w:numPr>
        <w:ind w:left="142" w:right="-426"/>
        <w:rPr>
          <w:sz w:val="24"/>
          <w:szCs w:val="24"/>
        </w:rPr>
      </w:pPr>
      <w:r w:rsidRPr="00AE65DA">
        <w:rPr>
          <w:sz w:val="24"/>
          <w:szCs w:val="24"/>
        </w:rPr>
        <w:t xml:space="preserve">Lisanssız üretim tesisi projelerinin (Üretim+Bağlantı tesisleri) çağrı mektubu tarihinden sonra 90 Gün içerisinde TEDAŞ’a sunulması ve en geç 270 gün içerisinde onaylanması  </w:t>
      </w:r>
    </w:p>
    <w:p w:rsidR="005A4F31" w:rsidRPr="00AE65DA" w:rsidRDefault="005A4F31" w:rsidP="005A4F31">
      <w:pPr>
        <w:pStyle w:val="ListeParagraf"/>
        <w:numPr>
          <w:ilvl w:val="0"/>
          <w:numId w:val="3"/>
        </w:numPr>
        <w:ind w:left="142" w:right="-426"/>
        <w:rPr>
          <w:sz w:val="24"/>
          <w:szCs w:val="24"/>
        </w:rPr>
      </w:pPr>
      <w:r w:rsidRPr="00AE65DA">
        <w:rPr>
          <w:sz w:val="24"/>
          <w:szCs w:val="24"/>
        </w:rPr>
        <w:t>TEDAŞ tarafından projesi onaylanan tesislerle ilgili Dağıtıma Gömülü Santraller Süreç Yöneticiliği ile başvuru tarihinden sonra 1 ay içerisinde “Bağlantı Anlaşması” yapılması</w:t>
      </w:r>
    </w:p>
    <w:p w:rsidR="005A4F31" w:rsidRPr="00AE65DA" w:rsidRDefault="005A4F31" w:rsidP="005A4F31">
      <w:pPr>
        <w:pStyle w:val="ListeParagraf"/>
        <w:ind w:left="142" w:right="-426"/>
        <w:rPr>
          <w:sz w:val="24"/>
          <w:szCs w:val="24"/>
        </w:rPr>
      </w:pPr>
      <w:r w:rsidRPr="00AE65DA">
        <w:rPr>
          <w:sz w:val="24"/>
          <w:szCs w:val="24"/>
        </w:rPr>
        <w:t>(Bağlantı anlaşması yapılan OG den bağlı projelerin tesisi tamamlamak için 2 yılı, AG den bağlı projelerin tesisi tamamlaması için 1 yılı bulunmaktadır.)</w:t>
      </w:r>
    </w:p>
    <w:p w:rsidR="00891493" w:rsidRPr="00AE65DA" w:rsidRDefault="00891493" w:rsidP="00891493">
      <w:pPr>
        <w:pStyle w:val="ListeParagraf"/>
        <w:numPr>
          <w:ilvl w:val="0"/>
          <w:numId w:val="3"/>
        </w:numPr>
        <w:ind w:left="142" w:right="-426"/>
        <w:rPr>
          <w:sz w:val="24"/>
          <w:szCs w:val="24"/>
        </w:rPr>
      </w:pPr>
      <w:r w:rsidRPr="00AE65DA">
        <w:rPr>
          <w:sz w:val="24"/>
          <w:szCs w:val="24"/>
        </w:rPr>
        <w:t>Üretim tesisi yapım aşamasına geçildiğinde başvuru sahibi tarafından BSK 12. ve 21. maddeleri kapsamında yapılacak bağlantı tesisleri(KÖK, ENH ve DM) ile ilgili santral sahasındaki DM yer tahsisinin yapılmasına müteakip Dağıtıma Gömülü Santraller Süreç Müdürlüğü ile “Tesis Sözleşmesi” yapılması.</w:t>
      </w:r>
    </w:p>
    <w:p w:rsidR="005A4F31" w:rsidRPr="00AE65DA" w:rsidRDefault="005A4F31" w:rsidP="005A4F31">
      <w:pPr>
        <w:pStyle w:val="ListeParagraf"/>
        <w:numPr>
          <w:ilvl w:val="0"/>
          <w:numId w:val="3"/>
        </w:numPr>
        <w:ind w:left="142" w:right="-426"/>
        <w:rPr>
          <w:sz w:val="24"/>
          <w:szCs w:val="24"/>
        </w:rPr>
      </w:pPr>
      <w:r w:rsidRPr="00AE65DA">
        <w:rPr>
          <w:sz w:val="24"/>
          <w:szCs w:val="24"/>
        </w:rPr>
        <w:t>Hat başı KÖK, DM ve bağlantı hattı olan tesisler için(Herhangi biri ya da hepsi olması durumu) yapılan “Tesis Sözleşmesine” istinaden Yapım İşleri Direktörlüğü Tarafından kontrol mühendisinin atanması ve tesisin montajının kontrol mühendisi eşliğinde tamamlanması.</w:t>
      </w:r>
    </w:p>
    <w:p w:rsidR="00DD5A1D" w:rsidRPr="00AE65DA" w:rsidRDefault="00DD5A1D" w:rsidP="00DD5A1D">
      <w:pPr>
        <w:pStyle w:val="ListeParagraf"/>
        <w:ind w:left="142" w:right="-426"/>
        <w:rPr>
          <w:sz w:val="24"/>
          <w:szCs w:val="24"/>
        </w:rPr>
      </w:pPr>
    </w:p>
    <w:p w:rsidR="00DD5A1D" w:rsidRPr="00AE65DA" w:rsidRDefault="00DD5A1D" w:rsidP="00DD5A1D">
      <w:pPr>
        <w:pStyle w:val="ListeParagraf"/>
        <w:numPr>
          <w:ilvl w:val="0"/>
          <w:numId w:val="5"/>
        </w:numPr>
        <w:ind w:left="142" w:hanging="426"/>
        <w:rPr>
          <w:b/>
          <w:sz w:val="32"/>
        </w:rPr>
      </w:pPr>
      <w:r w:rsidRPr="00AE65DA">
        <w:rPr>
          <w:b/>
          <w:sz w:val="32"/>
        </w:rPr>
        <w:t>Kabul Süreci</w:t>
      </w:r>
    </w:p>
    <w:p w:rsidR="00D652C3" w:rsidRPr="00AE65DA" w:rsidRDefault="00D652C3" w:rsidP="00D652C3">
      <w:pPr>
        <w:pStyle w:val="ListeParagraf"/>
        <w:ind w:left="142"/>
        <w:rPr>
          <w:b/>
          <w:sz w:val="32"/>
        </w:rPr>
      </w:pPr>
    </w:p>
    <w:p w:rsidR="00D520DE" w:rsidRPr="00AE65DA" w:rsidRDefault="00D652C3" w:rsidP="00D652C3">
      <w:pPr>
        <w:pStyle w:val="ListeParagraf"/>
        <w:ind w:left="142"/>
        <w:rPr>
          <w:sz w:val="24"/>
        </w:rPr>
      </w:pPr>
      <w:r w:rsidRPr="00AE65DA">
        <w:rPr>
          <w:b/>
          <w:sz w:val="24"/>
          <w:u w:val="single"/>
        </w:rPr>
        <w:t>Ön Bilgi:</w:t>
      </w:r>
      <w:r w:rsidRPr="00AE65DA">
        <w:rPr>
          <w:sz w:val="24"/>
        </w:rPr>
        <w:t xml:space="preserve"> Lisanssız Üretim Tesisinin geçici kabul yetkisi Enerji ve Tabii Kaynaklar </w:t>
      </w:r>
      <w:r w:rsidR="008F758E" w:rsidRPr="00AE65DA">
        <w:rPr>
          <w:sz w:val="24"/>
        </w:rPr>
        <w:t>Bakanlığı tarafından</w:t>
      </w:r>
      <w:r w:rsidRPr="00AE65DA">
        <w:rPr>
          <w:sz w:val="24"/>
        </w:rPr>
        <w:t xml:space="preserve"> yayımlanan Elektrik Tesislerinin Proje Onay ve Kabul Yetkilendirmeleri doğrultusunda TEDAŞ’a ait olup, </w:t>
      </w:r>
      <w:r w:rsidR="00D520DE" w:rsidRPr="00AE65DA">
        <w:rPr>
          <w:sz w:val="24"/>
          <w:szCs w:val="24"/>
        </w:rPr>
        <w:t>TEDAŞ’ın yapacağı kabul öncesi gerekli olan Geçici Kabule Hazır Tutanağının düzenlenerek</w:t>
      </w:r>
      <w:r w:rsidR="00D520DE" w:rsidRPr="00AE65DA">
        <w:rPr>
          <w:sz w:val="24"/>
        </w:rPr>
        <w:t xml:space="preserve"> TEDAŞ’a bildirilmesi süreci Toroslar EDAŞ tarafından yürütülmektedir.</w:t>
      </w:r>
    </w:p>
    <w:p w:rsidR="00D520DE" w:rsidRPr="00AE65DA" w:rsidRDefault="00D520DE" w:rsidP="00D652C3">
      <w:pPr>
        <w:pStyle w:val="ListeParagraf"/>
        <w:ind w:left="142"/>
        <w:rPr>
          <w:sz w:val="24"/>
        </w:rPr>
      </w:pPr>
    </w:p>
    <w:p w:rsidR="00D652C3" w:rsidRPr="00AE65DA" w:rsidRDefault="00D520DE" w:rsidP="00D652C3">
      <w:pPr>
        <w:pStyle w:val="ListeParagraf"/>
        <w:ind w:left="142"/>
        <w:rPr>
          <w:sz w:val="24"/>
        </w:rPr>
      </w:pPr>
      <w:r w:rsidRPr="00AE65DA">
        <w:rPr>
          <w:sz w:val="24"/>
        </w:rPr>
        <w:t xml:space="preserve">Bu süreçte tesisin ön kabul işlemleri </w:t>
      </w:r>
      <w:r w:rsidR="00D652C3" w:rsidRPr="00AE65DA">
        <w:rPr>
          <w:sz w:val="24"/>
        </w:rPr>
        <w:t>Sistem İşletme Müdü</w:t>
      </w:r>
      <w:r w:rsidRPr="00AE65DA">
        <w:rPr>
          <w:sz w:val="24"/>
        </w:rPr>
        <w:t>rlüğü, üretim t</w:t>
      </w:r>
      <w:r w:rsidR="00D652C3" w:rsidRPr="00AE65DA">
        <w:rPr>
          <w:sz w:val="24"/>
        </w:rPr>
        <w:t xml:space="preserve">esisinin bağlantı hatlarının geçici kabul işlemleri ise Teknik Ofis Müdürlüğü tarafından yürütülmektedir. </w:t>
      </w:r>
    </w:p>
    <w:p w:rsidR="00DD5A1D" w:rsidRPr="00AE65DA" w:rsidRDefault="00DD5A1D" w:rsidP="00DD5A1D">
      <w:pPr>
        <w:pStyle w:val="ListeParagraf"/>
        <w:ind w:left="142" w:right="-426"/>
        <w:rPr>
          <w:sz w:val="24"/>
          <w:szCs w:val="24"/>
        </w:rPr>
      </w:pPr>
    </w:p>
    <w:p w:rsidR="00A26C45" w:rsidRPr="00AE65DA" w:rsidRDefault="00A26C45" w:rsidP="00DD5A1D">
      <w:pPr>
        <w:pStyle w:val="ListeParagraf"/>
        <w:numPr>
          <w:ilvl w:val="0"/>
          <w:numId w:val="6"/>
        </w:numPr>
        <w:ind w:left="142" w:right="-426"/>
        <w:rPr>
          <w:sz w:val="24"/>
          <w:szCs w:val="24"/>
        </w:rPr>
      </w:pPr>
      <w:r w:rsidRPr="00AE65DA">
        <w:rPr>
          <w:sz w:val="24"/>
          <w:szCs w:val="24"/>
        </w:rPr>
        <w:t xml:space="preserve">Tesis tamamlandıktan sonra ön kabul </w:t>
      </w:r>
      <w:r w:rsidR="00A46C57" w:rsidRPr="00AE65DA">
        <w:rPr>
          <w:sz w:val="24"/>
          <w:szCs w:val="24"/>
        </w:rPr>
        <w:t>öncesi</w:t>
      </w:r>
      <w:r w:rsidR="00DD5A1D" w:rsidRPr="00AE65DA">
        <w:rPr>
          <w:sz w:val="24"/>
          <w:szCs w:val="24"/>
        </w:rPr>
        <w:t>:</w:t>
      </w:r>
    </w:p>
    <w:p w:rsidR="00A46B4A" w:rsidRPr="00AE65DA" w:rsidRDefault="00A26C45" w:rsidP="00DD5A1D">
      <w:pPr>
        <w:pStyle w:val="ListeParagraf"/>
        <w:numPr>
          <w:ilvl w:val="0"/>
          <w:numId w:val="4"/>
        </w:numPr>
        <w:ind w:left="567" w:right="-426" w:hanging="283"/>
        <w:rPr>
          <w:sz w:val="24"/>
          <w:szCs w:val="24"/>
        </w:rPr>
      </w:pPr>
      <w:r w:rsidRPr="00AE65DA">
        <w:rPr>
          <w:sz w:val="24"/>
          <w:szCs w:val="24"/>
        </w:rPr>
        <w:t xml:space="preserve">Üretim tesisinin dağıtım </w:t>
      </w:r>
      <w:r w:rsidR="00A46B4A" w:rsidRPr="00AE65DA">
        <w:rPr>
          <w:sz w:val="24"/>
          <w:szCs w:val="24"/>
        </w:rPr>
        <w:t xml:space="preserve">SCADA sistemine dahil edilebilmesi için uygun ekipmanların montajının yapılması ve SCADA </w:t>
      </w:r>
      <w:r w:rsidR="00A46C57" w:rsidRPr="00AE65DA">
        <w:rPr>
          <w:sz w:val="24"/>
          <w:szCs w:val="24"/>
        </w:rPr>
        <w:t>Takım Yöneticiliğinden</w:t>
      </w:r>
      <w:r w:rsidR="00A46B4A" w:rsidRPr="00AE65DA">
        <w:rPr>
          <w:sz w:val="24"/>
          <w:szCs w:val="24"/>
        </w:rPr>
        <w:t xml:space="preserve"> uygunluk alınması</w:t>
      </w:r>
      <w:r w:rsidRPr="00AE65DA">
        <w:rPr>
          <w:sz w:val="24"/>
          <w:szCs w:val="24"/>
        </w:rPr>
        <w:t>.</w:t>
      </w:r>
    </w:p>
    <w:p w:rsidR="00A46B4A" w:rsidRPr="00AE65DA" w:rsidRDefault="00A46B4A" w:rsidP="00DD5A1D">
      <w:pPr>
        <w:pStyle w:val="ListeParagraf"/>
        <w:numPr>
          <w:ilvl w:val="0"/>
          <w:numId w:val="4"/>
        </w:numPr>
        <w:ind w:left="567" w:right="-426" w:hanging="283"/>
        <w:rPr>
          <w:sz w:val="24"/>
          <w:szCs w:val="24"/>
        </w:rPr>
      </w:pPr>
      <w:r w:rsidRPr="00AE65DA">
        <w:rPr>
          <w:sz w:val="24"/>
          <w:szCs w:val="24"/>
        </w:rPr>
        <w:t>CBS biriminden öznitelik tablosunun uygunluğunun alınması</w:t>
      </w:r>
      <w:r w:rsidR="00A26C45" w:rsidRPr="00AE65DA">
        <w:rPr>
          <w:sz w:val="24"/>
          <w:szCs w:val="24"/>
        </w:rPr>
        <w:t>.</w:t>
      </w:r>
      <w:r w:rsidRPr="00AE65DA">
        <w:rPr>
          <w:sz w:val="24"/>
          <w:szCs w:val="24"/>
        </w:rPr>
        <w:t xml:space="preserve"> </w:t>
      </w:r>
    </w:p>
    <w:p w:rsidR="009F388D" w:rsidRPr="00AE65DA" w:rsidRDefault="009F388D" w:rsidP="009F388D">
      <w:pPr>
        <w:pStyle w:val="ListeParagraf"/>
        <w:numPr>
          <w:ilvl w:val="0"/>
          <w:numId w:val="4"/>
        </w:numPr>
        <w:ind w:left="993" w:right="-426"/>
        <w:rPr>
          <w:sz w:val="24"/>
          <w:szCs w:val="24"/>
        </w:rPr>
      </w:pPr>
      <w:r w:rsidRPr="00AE65DA">
        <w:rPr>
          <w:sz w:val="24"/>
          <w:szCs w:val="24"/>
        </w:rPr>
        <w:lastRenderedPageBreak/>
        <w:t>Tek Yönlü Üretim sayacı ve Çift Yönlü Üretim/Tüketim sayacının aynı panoda olmasının sağlanması aynı zamanda Otomatik Sayaç Okuma Sistemine uyumlu olması için aşağıdaki sayaçlara uygun haberleşme ekipmanı temin edilmelidir. (Sayaç panosu çatıda olmamalı ve ulaşılabilir noktada olmalı)</w:t>
      </w:r>
    </w:p>
    <w:tbl>
      <w:tblPr>
        <w:tblW w:w="2720" w:type="dxa"/>
        <w:tblInd w:w="2668" w:type="dxa"/>
        <w:tblLook w:val="04A0" w:firstRow="1" w:lastRow="0" w:firstColumn="1" w:lastColumn="0" w:noHBand="0" w:noVBand="1"/>
      </w:tblPr>
      <w:tblGrid>
        <w:gridCol w:w="1180"/>
        <w:gridCol w:w="1540"/>
      </w:tblGrid>
      <w:tr w:rsidR="00AE65DA" w:rsidRPr="00AE65DA" w:rsidTr="004F3CDB">
        <w:trPr>
          <w:trHeight w:val="300"/>
        </w:trPr>
        <w:tc>
          <w:tcPr>
            <w:tcW w:w="11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F388D" w:rsidRPr="00AE65DA" w:rsidRDefault="009F388D" w:rsidP="004F3CDB">
            <w:pPr>
              <w:spacing w:after="0" w:line="240" w:lineRule="auto"/>
              <w:rPr>
                <w:rFonts w:ascii="Calibri" w:eastAsia="Times New Roman" w:hAnsi="Calibri" w:cs="Times New Roman"/>
                <w:b/>
                <w:bCs/>
                <w:lang w:val="en-US"/>
              </w:rPr>
            </w:pPr>
            <w:r w:rsidRPr="00AE65DA">
              <w:rPr>
                <w:rFonts w:ascii="Calibri" w:eastAsia="Times New Roman" w:hAnsi="Calibri" w:cs="Times New Roman"/>
                <w:b/>
                <w:bCs/>
                <w:lang w:val="en-US"/>
              </w:rPr>
              <w:t xml:space="preserve">Sayaç </w:t>
            </w:r>
          </w:p>
        </w:tc>
        <w:tc>
          <w:tcPr>
            <w:tcW w:w="1540" w:type="dxa"/>
            <w:tcBorders>
              <w:top w:val="single" w:sz="8" w:space="0" w:color="auto"/>
              <w:left w:val="nil"/>
              <w:bottom w:val="single" w:sz="4" w:space="0" w:color="auto"/>
              <w:right w:val="single" w:sz="8" w:space="0" w:color="auto"/>
            </w:tcBorders>
            <w:shd w:val="clear" w:color="auto" w:fill="auto"/>
            <w:noWrap/>
            <w:vAlign w:val="bottom"/>
            <w:hideMark/>
          </w:tcPr>
          <w:p w:rsidR="009F388D" w:rsidRPr="00AE65DA" w:rsidRDefault="009F388D" w:rsidP="004F3CDB">
            <w:pPr>
              <w:spacing w:after="0" w:line="240" w:lineRule="auto"/>
              <w:rPr>
                <w:rFonts w:ascii="Calibri" w:eastAsia="Times New Roman" w:hAnsi="Calibri" w:cs="Times New Roman"/>
                <w:b/>
                <w:bCs/>
                <w:lang w:val="en-US"/>
              </w:rPr>
            </w:pPr>
            <w:r w:rsidRPr="00AE65DA">
              <w:rPr>
                <w:rFonts w:ascii="Calibri" w:eastAsia="Times New Roman" w:hAnsi="Calibri" w:cs="Times New Roman"/>
                <w:b/>
                <w:bCs/>
                <w:lang w:val="en-US"/>
              </w:rPr>
              <w:t>Modem</w:t>
            </w:r>
          </w:p>
        </w:tc>
      </w:tr>
      <w:tr w:rsidR="00AE65DA" w:rsidRPr="00AE65DA" w:rsidTr="004F3CDB">
        <w:trPr>
          <w:trHeight w:val="30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rPr>
              <w:t xml:space="preserve">ECLIPSE </w:t>
            </w:r>
          </w:p>
        </w:tc>
        <w:tc>
          <w:tcPr>
            <w:tcW w:w="1540" w:type="dxa"/>
            <w:tcBorders>
              <w:top w:val="nil"/>
              <w:left w:val="nil"/>
              <w:bottom w:val="single" w:sz="4" w:space="0" w:color="auto"/>
              <w:right w:val="single" w:sz="8" w:space="0" w:color="auto"/>
            </w:tcBorders>
            <w:shd w:val="clear" w:color="auto" w:fill="auto"/>
            <w:noWrap/>
            <w:vAlign w:val="bottom"/>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lang w:val="en-US"/>
              </w:rPr>
              <w:t xml:space="preserve">ECL BGS5 T3 EV </w:t>
            </w:r>
          </w:p>
        </w:tc>
      </w:tr>
      <w:tr w:rsidR="00AE65DA" w:rsidRPr="00AE65DA" w:rsidTr="004F3CDB">
        <w:trPr>
          <w:trHeight w:val="300"/>
        </w:trPr>
        <w:tc>
          <w:tcPr>
            <w:tcW w:w="1180" w:type="dxa"/>
            <w:tcBorders>
              <w:top w:val="nil"/>
              <w:left w:val="single" w:sz="8" w:space="0" w:color="auto"/>
              <w:bottom w:val="single" w:sz="4" w:space="0" w:color="auto"/>
              <w:right w:val="single" w:sz="4" w:space="0" w:color="auto"/>
            </w:tcBorders>
            <w:shd w:val="clear" w:color="auto" w:fill="auto"/>
            <w:noWrap/>
            <w:vAlign w:val="center"/>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rPr>
              <w:t>DESIMAL</w:t>
            </w:r>
          </w:p>
        </w:tc>
        <w:tc>
          <w:tcPr>
            <w:tcW w:w="1540" w:type="dxa"/>
            <w:tcBorders>
              <w:top w:val="nil"/>
              <w:left w:val="nil"/>
              <w:bottom w:val="single" w:sz="4" w:space="0" w:color="auto"/>
              <w:right w:val="single" w:sz="8" w:space="0" w:color="auto"/>
            </w:tcBorders>
            <w:shd w:val="clear" w:color="auto" w:fill="auto"/>
            <w:noWrap/>
            <w:vAlign w:val="bottom"/>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lang w:val="en-US"/>
              </w:rPr>
              <w:t xml:space="preserve"> DR502 </w:t>
            </w:r>
          </w:p>
        </w:tc>
      </w:tr>
      <w:tr w:rsidR="009F388D" w:rsidRPr="00AE65DA" w:rsidTr="004F3CDB">
        <w:trPr>
          <w:trHeight w:val="315"/>
        </w:trPr>
        <w:tc>
          <w:tcPr>
            <w:tcW w:w="1180" w:type="dxa"/>
            <w:tcBorders>
              <w:top w:val="nil"/>
              <w:left w:val="single" w:sz="8" w:space="0" w:color="auto"/>
              <w:bottom w:val="single" w:sz="8" w:space="0" w:color="auto"/>
              <w:right w:val="single" w:sz="4" w:space="0" w:color="auto"/>
            </w:tcBorders>
            <w:shd w:val="clear" w:color="auto" w:fill="auto"/>
            <w:noWrap/>
            <w:vAlign w:val="center"/>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rPr>
              <w:t>ECLIPSE ECL</w:t>
            </w:r>
          </w:p>
        </w:tc>
        <w:tc>
          <w:tcPr>
            <w:tcW w:w="1540" w:type="dxa"/>
            <w:tcBorders>
              <w:top w:val="nil"/>
              <w:left w:val="nil"/>
              <w:bottom w:val="single" w:sz="8" w:space="0" w:color="auto"/>
              <w:right w:val="single" w:sz="8" w:space="0" w:color="auto"/>
            </w:tcBorders>
            <w:shd w:val="clear" w:color="auto" w:fill="auto"/>
            <w:noWrap/>
            <w:vAlign w:val="bottom"/>
            <w:hideMark/>
          </w:tcPr>
          <w:p w:rsidR="009F388D" w:rsidRPr="00AE65DA" w:rsidRDefault="009F388D" w:rsidP="004F3CDB">
            <w:pPr>
              <w:spacing w:after="0" w:line="240" w:lineRule="auto"/>
              <w:rPr>
                <w:rFonts w:ascii="Calibri" w:eastAsia="Times New Roman" w:hAnsi="Calibri" w:cs="Times New Roman"/>
                <w:lang w:val="en-US"/>
              </w:rPr>
            </w:pPr>
            <w:r w:rsidRPr="00AE65DA">
              <w:rPr>
                <w:rFonts w:ascii="Calibri" w:eastAsia="Times New Roman" w:hAnsi="Calibri" w:cs="Times New Roman"/>
                <w:lang w:val="en-US"/>
              </w:rPr>
              <w:t xml:space="preserve"> EHS5 T3 EV</w:t>
            </w:r>
          </w:p>
        </w:tc>
      </w:tr>
    </w:tbl>
    <w:p w:rsidR="009F388D" w:rsidRPr="00AE65DA" w:rsidRDefault="009F388D" w:rsidP="009F388D">
      <w:pPr>
        <w:pStyle w:val="ListeParagraf"/>
        <w:ind w:left="567" w:right="-426"/>
        <w:rPr>
          <w:sz w:val="24"/>
          <w:szCs w:val="24"/>
        </w:rPr>
      </w:pPr>
    </w:p>
    <w:p w:rsidR="002C0F6D" w:rsidRPr="00AE65DA" w:rsidRDefault="002C0F6D" w:rsidP="00DD5A1D">
      <w:pPr>
        <w:pStyle w:val="ListeParagraf"/>
        <w:numPr>
          <w:ilvl w:val="0"/>
          <w:numId w:val="6"/>
        </w:numPr>
        <w:ind w:left="142" w:right="-426"/>
        <w:rPr>
          <w:sz w:val="24"/>
          <w:szCs w:val="24"/>
        </w:rPr>
      </w:pPr>
      <w:r w:rsidRPr="00AE65DA">
        <w:rPr>
          <w:sz w:val="24"/>
          <w:szCs w:val="24"/>
        </w:rPr>
        <w:t>Tesisin ön kabulünün yapılması için</w:t>
      </w:r>
      <w:r w:rsidR="00A46C57" w:rsidRPr="00AE65DA">
        <w:rPr>
          <w:sz w:val="24"/>
          <w:szCs w:val="24"/>
        </w:rPr>
        <w:t xml:space="preserve"> (</w:t>
      </w:r>
      <w:r w:rsidR="00D520DE" w:rsidRPr="00AE65DA">
        <w:rPr>
          <w:sz w:val="24"/>
          <w:szCs w:val="24"/>
        </w:rPr>
        <w:t>Sistem İşletme Müdürlüğü</w:t>
      </w:r>
      <w:r w:rsidR="00A46C57" w:rsidRPr="00AE65DA">
        <w:rPr>
          <w:sz w:val="24"/>
          <w:szCs w:val="24"/>
        </w:rPr>
        <w:t>)</w:t>
      </w:r>
      <w:r w:rsidRPr="00AE65DA">
        <w:rPr>
          <w:sz w:val="24"/>
          <w:szCs w:val="24"/>
        </w:rPr>
        <w:t>;</w:t>
      </w:r>
    </w:p>
    <w:p w:rsidR="002C0F6D" w:rsidRPr="00AE65DA" w:rsidRDefault="002C0F6D" w:rsidP="002C0F6D">
      <w:pPr>
        <w:pStyle w:val="ListeParagraf"/>
        <w:numPr>
          <w:ilvl w:val="1"/>
          <w:numId w:val="6"/>
        </w:numPr>
        <w:ind w:left="567" w:right="-426" w:hanging="283"/>
        <w:rPr>
          <w:sz w:val="24"/>
          <w:szCs w:val="24"/>
        </w:rPr>
      </w:pPr>
      <w:r w:rsidRPr="00AE65DA">
        <w:rPr>
          <w:sz w:val="24"/>
          <w:szCs w:val="24"/>
        </w:rPr>
        <w:t>Sistem İşletme Müdürlüğü Kabul Devir Hasar birimine başvurunun yapılması.</w:t>
      </w:r>
    </w:p>
    <w:p w:rsidR="00A46C57" w:rsidRPr="00AE65DA" w:rsidRDefault="00A46C57" w:rsidP="002C0F6D">
      <w:pPr>
        <w:pStyle w:val="ListeParagraf"/>
        <w:numPr>
          <w:ilvl w:val="1"/>
          <w:numId w:val="6"/>
        </w:numPr>
        <w:ind w:left="567" w:right="-426" w:hanging="283"/>
        <w:rPr>
          <w:sz w:val="24"/>
          <w:szCs w:val="24"/>
        </w:rPr>
      </w:pPr>
      <w:r w:rsidRPr="00AE65DA">
        <w:rPr>
          <w:sz w:val="24"/>
          <w:szCs w:val="24"/>
        </w:rPr>
        <w:t>Başvuruya istinaden TEDAŞ’ın yapacağı kabul heyetine üye atanması</w:t>
      </w:r>
    </w:p>
    <w:p w:rsidR="00A46C57" w:rsidRPr="00AE65DA" w:rsidRDefault="00A46C57" w:rsidP="002C0F6D">
      <w:pPr>
        <w:pStyle w:val="ListeParagraf"/>
        <w:numPr>
          <w:ilvl w:val="1"/>
          <w:numId w:val="6"/>
        </w:numPr>
        <w:ind w:left="567" w:right="-426" w:hanging="283"/>
        <w:rPr>
          <w:sz w:val="24"/>
          <w:szCs w:val="24"/>
        </w:rPr>
      </w:pPr>
      <w:r w:rsidRPr="00AE65DA">
        <w:rPr>
          <w:sz w:val="24"/>
          <w:szCs w:val="24"/>
        </w:rPr>
        <w:t>TEDAŞ’ın yapacağı kabul öncesi, atanan üyenin Geçici Kabule Hazır Tutanağını imzalaması</w:t>
      </w:r>
    </w:p>
    <w:p w:rsidR="002C0F6D" w:rsidRPr="00AE65DA" w:rsidRDefault="00D652C3" w:rsidP="002C0F6D">
      <w:pPr>
        <w:pStyle w:val="ListeParagraf"/>
        <w:numPr>
          <w:ilvl w:val="1"/>
          <w:numId w:val="6"/>
        </w:numPr>
        <w:ind w:left="567" w:right="-426" w:hanging="283"/>
        <w:rPr>
          <w:sz w:val="24"/>
          <w:szCs w:val="24"/>
        </w:rPr>
      </w:pPr>
      <w:r w:rsidRPr="00AE65DA">
        <w:rPr>
          <w:sz w:val="24"/>
          <w:szCs w:val="24"/>
        </w:rPr>
        <w:t xml:space="preserve">Sistem İşletme Müdürlüğü tarafından </w:t>
      </w:r>
      <w:r w:rsidR="00CF0EF9" w:rsidRPr="00AE65DA">
        <w:rPr>
          <w:sz w:val="24"/>
          <w:szCs w:val="24"/>
        </w:rPr>
        <w:t xml:space="preserve">Geçici Kabule Hazır Tutanağının ve üye görevlendirme yazısının </w:t>
      </w:r>
      <w:r w:rsidRPr="00AE65DA">
        <w:rPr>
          <w:sz w:val="24"/>
          <w:szCs w:val="24"/>
        </w:rPr>
        <w:t>TEDAŞ’a gönderilmesi</w:t>
      </w:r>
      <w:r w:rsidR="00A46C57" w:rsidRPr="00AE65DA">
        <w:rPr>
          <w:sz w:val="24"/>
          <w:szCs w:val="24"/>
        </w:rPr>
        <w:t xml:space="preserve"> </w:t>
      </w:r>
    </w:p>
    <w:p w:rsidR="00D520DE" w:rsidRPr="00AE65DA" w:rsidRDefault="002C0F6D" w:rsidP="00D652C3">
      <w:pPr>
        <w:pStyle w:val="ListeParagraf"/>
        <w:numPr>
          <w:ilvl w:val="0"/>
          <w:numId w:val="6"/>
        </w:numPr>
        <w:ind w:left="142" w:right="-426"/>
        <w:rPr>
          <w:sz w:val="24"/>
          <w:szCs w:val="24"/>
        </w:rPr>
      </w:pPr>
      <w:r w:rsidRPr="00AE65DA">
        <w:rPr>
          <w:sz w:val="24"/>
          <w:szCs w:val="24"/>
        </w:rPr>
        <w:t>Üretim Tesisinin dağıtım şebekesine bağlandığı Enerji Nakil Hattı’nın</w:t>
      </w:r>
      <w:r w:rsidR="00D520DE" w:rsidRPr="00AE65DA">
        <w:rPr>
          <w:sz w:val="24"/>
          <w:szCs w:val="24"/>
        </w:rPr>
        <w:t xml:space="preserve"> ön kabulü için (Teknik Ofis Müdürlüğü);</w:t>
      </w:r>
    </w:p>
    <w:p w:rsidR="00D520DE" w:rsidRPr="00AE65DA" w:rsidRDefault="00D520DE" w:rsidP="00D520DE">
      <w:pPr>
        <w:pStyle w:val="ListeParagraf"/>
        <w:numPr>
          <w:ilvl w:val="1"/>
          <w:numId w:val="6"/>
        </w:numPr>
        <w:ind w:left="567" w:right="-426" w:hanging="283"/>
        <w:rPr>
          <w:sz w:val="24"/>
          <w:szCs w:val="24"/>
        </w:rPr>
      </w:pPr>
      <w:r w:rsidRPr="00AE65DA">
        <w:rPr>
          <w:sz w:val="24"/>
          <w:szCs w:val="24"/>
        </w:rPr>
        <w:t xml:space="preserve">Ön kabul tutanağının </w:t>
      </w:r>
      <w:r w:rsidR="002C0F6D" w:rsidRPr="00AE65DA">
        <w:rPr>
          <w:sz w:val="24"/>
          <w:szCs w:val="24"/>
        </w:rPr>
        <w:t xml:space="preserve">Kontrol Mühendisi tarafından </w:t>
      </w:r>
      <w:r w:rsidRPr="00AE65DA">
        <w:rPr>
          <w:sz w:val="24"/>
          <w:szCs w:val="24"/>
        </w:rPr>
        <w:t>imzalanması</w:t>
      </w:r>
    </w:p>
    <w:p w:rsidR="009F388D" w:rsidRPr="00AE65DA" w:rsidRDefault="009F388D" w:rsidP="00D520DE">
      <w:pPr>
        <w:pStyle w:val="ListeParagraf"/>
        <w:numPr>
          <w:ilvl w:val="1"/>
          <w:numId w:val="6"/>
        </w:numPr>
        <w:ind w:left="567" w:right="-426" w:hanging="283"/>
        <w:rPr>
          <w:sz w:val="24"/>
          <w:szCs w:val="24"/>
        </w:rPr>
      </w:pPr>
      <w:r w:rsidRPr="00AE65DA">
        <w:rPr>
          <w:sz w:val="24"/>
          <w:szCs w:val="24"/>
        </w:rPr>
        <w:t>Üretim Tesisat Ön kabul formu (DI-F-660), Tüketim Tesisat Ön kabul formu (DI-F-661) imzalanması</w:t>
      </w:r>
    </w:p>
    <w:p w:rsidR="00D520DE" w:rsidRPr="00AE65DA" w:rsidRDefault="00A46B4A" w:rsidP="00D520DE">
      <w:pPr>
        <w:pStyle w:val="ListeParagraf"/>
        <w:numPr>
          <w:ilvl w:val="1"/>
          <w:numId w:val="6"/>
        </w:numPr>
        <w:ind w:left="567" w:right="-426" w:hanging="283"/>
        <w:rPr>
          <w:sz w:val="24"/>
          <w:szCs w:val="24"/>
        </w:rPr>
      </w:pPr>
      <w:r w:rsidRPr="00AE65DA">
        <w:rPr>
          <w:sz w:val="24"/>
          <w:szCs w:val="24"/>
        </w:rPr>
        <w:t>Geçici Kabul başvuru evraklarının kontrol mühendisine teslim edilmesi</w:t>
      </w:r>
    </w:p>
    <w:p w:rsidR="00D520DE" w:rsidRPr="00AE65DA" w:rsidRDefault="00A46B4A" w:rsidP="00D520DE">
      <w:pPr>
        <w:pStyle w:val="ListeParagraf"/>
        <w:numPr>
          <w:ilvl w:val="1"/>
          <w:numId w:val="6"/>
        </w:numPr>
        <w:ind w:left="567" w:right="-426" w:hanging="283"/>
        <w:rPr>
          <w:sz w:val="24"/>
          <w:szCs w:val="24"/>
        </w:rPr>
      </w:pPr>
      <w:r w:rsidRPr="00AE65DA">
        <w:rPr>
          <w:sz w:val="24"/>
          <w:szCs w:val="24"/>
        </w:rPr>
        <w:t>Kontrol Mühendisi tarafından Teknik Ofis Müdürlüğüne geçici kabul evraklarının iletilmesi</w:t>
      </w:r>
    </w:p>
    <w:p w:rsidR="00D652C3" w:rsidRPr="00AE65DA" w:rsidRDefault="00F03021" w:rsidP="00D520DE">
      <w:pPr>
        <w:pStyle w:val="ListeParagraf"/>
        <w:numPr>
          <w:ilvl w:val="1"/>
          <w:numId w:val="6"/>
        </w:numPr>
        <w:ind w:left="567" w:right="-426" w:hanging="283"/>
        <w:rPr>
          <w:sz w:val="24"/>
          <w:szCs w:val="24"/>
        </w:rPr>
      </w:pPr>
      <w:r w:rsidRPr="00AE65DA">
        <w:rPr>
          <w:sz w:val="24"/>
          <w:szCs w:val="24"/>
        </w:rPr>
        <w:t xml:space="preserve">Teknik Ofis Müdürlüğü tarafından </w:t>
      </w:r>
      <w:r w:rsidR="00CF0EF9" w:rsidRPr="00AE65DA">
        <w:rPr>
          <w:sz w:val="24"/>
          <w:szCs w:val="24"/>
        </w:rPr>
        <w:t xml:space="preserve">Geçici Kabule Hazır Tutanağının ve üye görevlendirme yazısının </w:t>
      </w:r>
      <w:r w:rsidRPr="00AE65DA">
        <w:rPr>
          <w:sz w:val="24"/>
          <w:szCs w:val="24"/>
        </w:rPr>
        <w:t xml:space="preserve">TEDAŞ’a </w:t>
      </w:r>
      <w:r w:rsidR="00CF0EF9" w:rsidRPr="00AE65DA">
        <w:rPr>
          <w:sz w:val="24"/>
          <w:szCs w:val="24"/>
        </w:rPr>
        <w:t>gönderilmesi</w:t>
      </w:r>
    </w:p>
    <w:p w:rsidR="00A46B4A" w:rsidRPr="00AE65DA" w:rsidRDefault="00A46B4A" w:rsidP="00DD5A1D">
      <w:pPr>
        <w:pStyle w:val="ListeParagraf"/>
        <w:numPr>
          <w:ilvl w:val="0"/>
          <w:numId w:val="6"/>
        </w:numPr>
        <w:ind w:left="142" w:right="-426"/>
        <w:rPr>
          <w:sz w:val="24"/>
          <w:szCs w:val="24"/>
        </w:rPr>
      </w:pPr>
      <w:r w:rsidRPr="00AE65DA">
        <w:rPr>
          <w:sz w:val="24"/>
          <w:szCs w:val="24"/>
        </w:rPr>
        <w:t xml:space="preserve">TEDAŞ </w:t>
      </w:r>
      <w:r w:rsidR="00F03021" w:rsidRPr="00AE65DA">
        <w:rPr>
          <w:sz w:val="24"/>
          <w:szCs w:val="24"/>
        </w:rPr>
        <w:t xml:space="preserve">tarafından </w:t>
      </w:r>
      <w:r w:rsidRPr="00AE65DA">
        <w:rPr>
          <w:sz w:val="24"/>
          <w:szCs w:val="24"/>
        </w:rPr>
        <w:t>Geçici Kabul İşlemi</w:t>
      </w:r>
      <w:r w:rsidR="00F03021" w:rsidRPr="00AE65DA">
        <w:rPr>
          <w:sz w:val="24"/>
          <w:szCs w:val="24"/>
        </w:rPr>
        <w:t>nin yapılması</w:t>
      </w:r>
    </w:p>
    <w:p w:rsidR="00F03021" w:rsidRPr="00AE65DA" w:rsidRDefault="00F03021" w:rsidP="00DD5A1D">
      <w:pPr>
        <w:pStyle w:val="ListeParagraf"/>
        <w:numPr>
          <w:ilvl w:val="0"/>
          <w:numId w:val="6"/>
        </w:numPr>
        <w:ind w:left="142" w:right="-426"/>
        <w:rPr>
          <w:sz w:val="24"/>
          <w:szCs w:val="24"/>
        </w:rPr>
      </w:pPr>
      <w:r w:rsidRPr="00AE65DA">
        <w:rPr>
          <w:sz w:val="24"/>
          <w:szCs w:val="24"/>
        </w:rPr>
        <w:t>Geçici Kabul işlemi tamamlanan tesisin geçici kabul tutanaklarının Dağıtım Şirketine ulaşması</w:t>
      </w:r>
    </w:p>
    <w:p w:rsidR="009F388D" w:rsidRPr="00AE65DA" w:rsidRDefault="009A091C" w:rsidP="009F388D">
      <w:pPr>
        <w:pStyle w:val="ListeParagraf"/>
        <w:numPr>
          <w:ilvl w:val="0"/>
          <w:numId w:val="3"/>
        </w:numPr>
        <w:ind w:left="142" w:right="-426"/>
        <w:rPr>
          <w:sz w:val="24"/>
          <w:szCs w:val="24"/>
        </w:rPr>
      </w:pPr>
      <w:r w:rsidRPr="00AE65DA">
        <w:rPr>
          <w:sz w:val="24"/>
          <w:szCs w:val="24"/>
        </w:rPr>
        <w:t>TEDAŞ tarafından geçici ka</w:t>
      </w:r>
      <w:r w:rsidR="00F03021" w:rsidRPr="00AE65DA">
        <w:rPr>
          <w:sz w:val="24"/>
          <w:szCs w:val="24"/>
        </w:rPr>
        <w:t>bulü yapılan tesislerle ilgili</w:t>
      </w:r>
      <w:r w:rsidR="000619CC" w:rsidRPr="00AE65DA">
        <w:rPr>
          <w:sz w:val="24"/>
          <w:szCs w:val="24"/>
        </w:rPr>
        <w:t xml:space="preserve"> Dağıtıma Gömülü Santraller Süreç Müdürlüğü ile</w:t>
      </w:r>
      <w:r w:rsidR="00F03021" w:rsidRPr="00AE65DA">
        <w:rPr>
          <w:sz w:val="24"/>
          <w:szCs w:val="24"/>
        </w:rPr>
        <w:t xml:space="preserve"> “Sistem Kullanım Anlaşması” </w:t>
      </w:r>
      <w:r w:rsidRPr="00AE65DA">
        <w:rPr>
          <w:sz w:val="24"/>
          <w:szCs w:val="24"/>
        </w:rPr>
        <w:t>yapılması</w:t>
      </w:r>
      <w:r w:rsidR="00D520DE" w:rsidRPr="00AE65DA">
        <w:rPr>
          <w:sz w:val="24"/>
          <w:szCs w:val="24"/>
        </w:rPr>
        <w:t xml:space="preserve"> </w:t>
      </w:r>
      <w:r w:rsidR="00A26C45" w:rsidRPr="00AE65DA">
        <w:rPr>
          <w:sz w:val="24"/>
          <w:szCs w:val="24"/>
        </w:rPr>
        <w:t>(Kaymakamlık yazısı ya da geçici kabul tutanağı kopyası ile başvurulur)</w:t>
      </w:r>
      <w:r w:rsidR="009F388D" w:rsidRPr="00AE65DA">
        <w:rPr>
          <w:sz w:val="24"/>
          <w:szCs w:val="24"/>
        </w:rPr>
        <w:t xml:space="preserve"> ve akabinde dağıtım sistem kullanım bedellerinin ilk fatura döneminde oluşturması </w:t>
      </w:r>
    </w:p>
    <w:p w:rsidR="00891493" w:rsidRPr="00AE65DA" w:rsidRDefault="00891493" w:rsidP="00891493">
      <w:pPr>
        <w:pStyle w:val="ListeParagraf"/>
        <w:numPr>
          <w:ilvl w:val="0"/>
          <w:numId w:val="3"/>
        </w:numPr>
        <w:ind w:left="142" w:right="-426"/>
        <w:rPr>
          <w:sz w:val="24"/>
          <w:szCs w:val="24"/>
        </w:rPr>
      </w:pPr>
      <w:r w:rsidRPr="00AE65DA">
        <w:rPr>
          <w:sz w:val="24"/>
          <w:szCs w:val="24"/>
        </w:rPr>
        <w:t>Sistem Kullanım Anlaşması imzalandıktan sonra Üretim Tesisleri ile ilgili tesisatların Müşteri Teknik Hizmetler Müdürlüğü tarafından tanımlanması ve abonelik işlemlerinin yapılması</w:t>
      </w:r>
    </w:p>
    <w:p w:rsidR="00891493" w:rsidRPr="00AE65DA" w:rsidRDefault="00891493" w:rsidP="00891493">
      <w:pPr>
        <w:pStyle w:val="ListeParagraf"/>
        <w:numPr>
          <w:ilvl w:val="0"/>
          <w:numId w:val="3"/>
        </w:numPr>
        <w:ind w:left="142" w:right="-426"/>
        <w:rPr>
          <w:sz w:val="24"/>
          <w:szCs w:val="24"/>
        </w:rPr>
      </w:pPr>
      <w:r w:rsidRPr="00AE65DA">
        <w:rPr>
          <w:sz w:val="24"/>
          <w:szCs w:val="24"/>
        </w:rPr>
        <w:t>Serbest Tüketiciler Müdürlüğü tarafından okunacak üretim tesisatlarının belirlenerek ilgili ekiplerin yönlendirilmesi</w:t>
      </w:r>
    </w:p>
    <w:p w:rsidR="00891493" w:rsidRPr="00AE65DA" w:rsidRDefault="00891493" w:rsidP="00891493">
      <w:pPr>
        <w:pStyle w:val="ListeParagraf"/>
        <w:numPr>
          <w:ilvl w:val="0"/>
          <w:numId w:val="3"/>
        </w:numPr>
        <w:ind w:left="142" w:right="-426"/>
        <w:rPr>
          <w:sz w:val="24"/>
          <w:szCs w:val="24"/>
        </w:rPr>
      </w:pPr>
      <w:r w:rsidRPr="00AE65DA">
        <w:rPr>
          <w:sz w:val="24"/>
          <w:szCs w:val="24"/>
        </w:rPr>
        <w:t>Görevli Tedarik Şirketi tarafından mahsuplaşma işlemlerinin başlatılması.</w:t>
      </w:r>
    </w:p>
    <w:bookmarkStart w:id="0" w:name="_GoBack"/>
    <w:bookmarkEnd w:id="0"/>
    <w:p w:rsidR="006A0B2B" w:rsidRPr="00AE65DA" w:rsidRDefault="00772EDC" w:rsidP="00642F54">
      <w:pPr>
        <w:ind w:right="-426"/>
        <w:rPr>
          <w:sz w:val="24"/>
          <w:szCs w:val="24"/>
        </w:rPr>
      </w:pPr>
      <w:r w:rsidRPr="00AE65DA">
        <w:rPr>
          <w:noProof/>
          <w:sz w:val="20"/>
          <w:lang w:eastAsia="tr-TR"/>
        </w:rPr>
        <mc:AlternateContent>
          <mc:Choice Requires="wps">
            <w:drawing>
              <wp:anchor distT="0" distB="0" distL="114300" distR="114300" simplePos="0" relativeHeight="251677696" behindDoc="0" locked="0" layoutInCell="1" allowOverlap="1" wp14:anchorId="7055ABFD" wp14:editId="0F7619AA">
                <wp:simplePos x="0" y="0"/>
                <wp:positionH relativeFrom="column">
                  <wp:posOffset>-385445</wp:posOffset>
                </wp:positionH>
                <wp:positionV relativeFrom="paragraph">
                  <wp:posOffset>6487795</wp:posOffset>
                </wp:positionV>
                <wp:extent cx="6696075" cy="476250"/>
                <wp:effectExtent l="57150" t="38100" r="66675" b="76200"/>
                <wp:wrapNone/>
                <wp:docPr id="23" name="Yuvarlatılmış Dikdörtgen 22"/>
                <wp:cNvGraphicFramePr/>
                <a:graphic xmlns:a="http://schemas.openxmlformats.org/drawingml/2006/main">
                  <a:graphicData uri="http://schemas.microsoft.com/office/word/2010/wordprocessingShape">
                    <wps:wsp>
                      <wps:cNvSpPr/>
                      <wps:spPr>
                        <a:xfrm>
                          <a:off x="0" y="0"/>
                          <a:ext cx="6696075" cy="47625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rsidR="002B2351" w:rsidRPr="002B2351" w:rsidRDefault="002B2351" w:rsidP="002B2351">
                            <w:pPr>
                              <w:pStyle w:val="NormalWeb"/>
                              <w:spacing w:before="0" w:beforeAutospacing="0" w:after="0" w:afterAutospacing="0"/>
                              <w:jc w:val="center"/>
                              <w:rPr>
                                <w:sz w:val="14"/>
                              </w:rPr>
                            </w:pPr>
                            <w:r w:rsidRPr="002B2351">
                              <w:rPr>
                                <w:rFonts w:asciiTheme="minorHAnsi" w:hAnsi="Calibri" w:cstheme="minorBidi"/>
                                <w:color w:val="FFFFFF" w:themeColor="light1"/>
                                <w:kern w:val="24"/>
                                <w:sz w:val="22"/>
                                <w:szCs w:val="40"/>
                              </w:rPr>
                              <w:t xml:space="preserve">Üretim Tesisleri bağlantı hatları, KÖK ve DM’ler ile ilgili 21. madde kapsamında  kamulaştırma/devir işlemlerinin sürdürülmesi </w:t>
                            </w:r>
                          </w:p>
                        </w:txbxContent>
                      </wps:txbx>
                      <wps:bodyPr wrap="square" lIns="128016" tIns="64008" rIns="128016" bIns="64008"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55ABFD" id="Yuvarlatılmış Dikdörtgen 22" o:spid="_x0000_s1026" style="position:absolute;margin-left:-30.35pt;margin-top:510.85pt;width:527.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" fillcolor="#4f7ac7 [3032]" stroked="f">
                <v:fill color2="#416fc3 [3176]" rotate="t" colors="0 #6083cb;.5 #3e70ca;1 #2e61ba" focus="100%" type="gradient">
                  <o:fill v:ext="view" type="gradientUnscaled"/>
                </v:fill>
                <v:shadow on="t" color="black" opacity="41287f" offset="0,1.5pt"/>
                <v:textbox inset="10.08pt,5.04pt,10.08pt,5.04pt">
                  <w:txbxContent>
                    <w:p w:rsidR="002B2351" w:rsidRPr="002B2351" w:rsidRDefault="002B2351" w:rsidP="002B2351">
                      <w:pPr>
                        <w:pStyle w:val="NormalWeb"/>
                        <w:spacing w:before="0" w:beforeAutospacing="0" w:after="0" w:afterAutospacing="0"/>
                        <w:jc w:val="center"/>
                        <w:rPr>
                          <w:sz w:val="14"/>
                        </w:rPr>
                      </w:pPr>
                      <w:r w:rsidRPr="002B2351">
                        <w:rPr>
                          <w:rFonts w:asciiTheme="minorHAnsi" w:hAnsi="Calibri" w:cstheme="minorBidi"/>
                          <w:color w:val="FFFFFF" w:themeColor="light1"/>
                          <w:kern w:val="24"/>
                          <w:sz w:val="22"/>
                          <w:szCs w:val="40"/>
                        </w:rPr>
                        <w:t xml:space="preserve">Üretim Tesisleri bağlantı hatları, KÖK ve DM’ler ile ilgili 21. madde kapsamında  kamulaştırma/devir işlemlerinin sürdürülmesi </w:t>
                      </w:r>
                    </w:p>
                  </w:txbxContent>
                </v:textbox>
              </v:roundrect>
            </w:pict>
          </mc:Fallback>
        </mc:AlternateContent>
      </w:r>
    </w:p>
    <w:sectPr w:rsidR="006A0B2B" w:rsidRPr="00AE65DA" w:rsidSect="002B235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A72" w:rsidRDefault="004D5A72" w:rsidP="002B2351">
      <w:pPr>
        <w:spacing w:after="0" w:line="240" w:lineRule="auto"/>
      </w:pPr>
      <w:r>
        <w:separator/>
      </w:r>
    </w:p>
  </w:endnote>
  <w:endnote w:type="continuationSeparator" w:id="0">
    <w:p w:rsidR="004D5A72" w:rsidRDefault="004D5A72" w:rsidP="002B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1" w:rsidRDefault="002B2351" w:rsidP="002B2351">
    <w:pPr>
      <w:pStyle w:val="Altbilgi"/>
      <w:jc w:val="right"/>
      <w:rPr>
        <w:color w:val="000000"/>
        <w:sz w:val="17"/>
      </w:rPr>
    </w:pPr>
    <w:bookmarkStart w:id="1" w:name="TITUS1FooterEvenPages"/>
    <w:r w:rsidRPr="002B2351">
      <w:rPr>
        <w:color w:val="000000"/>
        <w:sz w:val="17"/>
      </w:rPr>
      <w:t>Hizmete Özel</w:t>
    </w:r>
  </w:p>
  <w:bookmarkEnd w:id="1"/>
  <w:p w:rsidR="002B2351" w:rsidRDefault="001A0614">
    <w:pPr>
      <w:pStyle w:val="Altbilgi"/>
    </w:pPr>
    <w:r w:rsidRPr="001A0614">
      <w:t>TS-T-004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1" w:rsidRDefault="002B2351" w:rsidP="002B2351">
    <w:pPr>
      <w:pStyle w:val="Altbilgi"/>
      <w:jc w:val="right"/>
      <w:rPr>
        <w:color w:val="000000"/>
        <w:sz w:val="17"/>
      </w:rPr>
    </w:pPr>
    <w:bookmarkStart w:id="2" w:name="TITUS1FooterPrimary"/>
    <w:r w:rsidRPr="002B2351">
      <w:rPr>
        <w:color w:val="000000"/>
        <w:sz w:val="17"/>
      </w:rPr>
      <w:t>Hizmete Özel</w:t>
    </w:r>
  </w:p>
  <w:bookmarkEnd w:id="2"/>
  <w:p w:rsidR="002B2351" w:rsidRDefault="002B235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1" w:rsidRDefault="002B2351" w:rsidP="002B2351">
    <w:pPr>
      <w:pStyle w:val="Altbilgi"/>
      <w:jc w:val="right"/>
      <w:rPr>
        <w:color w:val="000000"/>
        <w:sz w:val="17"/>
      </w:rPr>
    </w:pPr>
    <w:bookmarkStart w:id="3" w:name="TITUS1FooterFirstPage"/>
    <w:r w:rsidRPr="002B2351">
      <w:rPr>
        <w:color w:val="000000"/>
        <w:sz w:val="17"/>
      </w:rPr>
      <w:t>Hizmete Özel</w:t>
    </w:r>
  </w:p>
  <w:bookmarkEnd w:id="3"/>
  <w:p w:rsidR="002B2351" w:rsidRDefault="002B235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A72" w:rsidRDefault="004D5A72" w:rsidP="002B2351">
      <w:pPr>
        <w:spacing w:after="0" w:line="240" w:lineRule="auto"/>
      </w:pPr>
      <w:r>
        <w:separator/>
      </w:r>
    </w:p>
  </w:footnote>
  <w:footnote w:type="continuationSeparator" w:id="0">
    <w:p w:rsidR="004D5A72" w:rsidRDefault="004D5A72" w:rsidP="002B2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14" w:rsidRDefault="001A061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14" w:rsidRDefault="001A061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F9" w:rsidRDefault="00EA0F16">
    <w:pPr>
      <w:pStyle w:val="stbilgi"/>
    </w:pPr>
    <w:r>
      <w:rPr>
        <w:noProof/>
        <w:lang w:eastAsia="tr-TR"/>
      </w:rPr>
      <w:drawing>
        <wp:inline distT="0" distB="0" distL="0" distR="0">
          <wp:extent cx="1685925" cy="542925"/>
          <wp:effectExtent l="0" t="0" r="9525" b="9525"/>
          <wp:docPr id="2" name="Resim 2" descr="cid:image011.jpg@01D2E9B3.5EB9F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jpg@01D2E9B3.5EB9FA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5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F06E3"/>
    <w:multiLevelType w:val="hybridMultilevel"/>
    <w:tmpl w:val="00202292"/>
    <w:lvl w:ilvl="0" w:tplc="00B8F574">
      <w:start w:val="1"/>
      <w:numFmt w:val="decimal"/>
      <w:lvlText w:val="%1."/>
      <w:lvlJc w:val="left"/>
      <w:pPr>
        <w:ind w:left="1080" w:hanging="360"/>
      </w:pPr>
      <w:rPr>
        <w:rFonts w:asciiTheme="minorHAnsi" w:hAnsi="Calibri" w:cstheme="minorBidi" w:hint="default"/>
        <w:sz w:val="3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4D3CE4"/>
    <w:multiLevelType w:val="hybridMultilevel"/>
    <w:tmpl w:val="2708EA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3606B7"/>
    <w:multiLevelType w:val="hybridMultilevel"/>
    <w:tmpl w:val="5B58DCDE"/>
    <w:lvl w:ilvl="0" w:tplc="1EB4667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4D980E63"/>
    <w:multiLevelType w:val="hybridMultilevel"/>
    <w:tmpl w:val="46D60118"/>
    <w:lvl w:ilvl="0" w:tplc="3C364FF8">
      <w:start w:val="1"/>
      <w:numFmt w:val="decimal"/>
      <w:lvlText w:val="%1."/>
      <w:lvlJc w:val="left"/>
      <w:pPr>
        <w:ind w:left="360" w:hanging="360"/>
      </w:pPr>
      <w:rPr>
        <w:rFonts w:asciiTheme="minorHAnsi" w:hAnsi="Calibri" w:cstheme="minorBidi" w:hint="default"/>
        <w:sz w:val="28"/>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52E67867"/>
    <w:multiLevelType w:val="hybridMultilevel"/>
    <w:tmpl w:val="B4BC0C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D6529"/>
    <w:multiLevelType w:val="hybridMultilevel"/>
    <w:tmpl w:val="AC3264D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725093"/>
    <w:multiLevelType w:val="hybridMultilevel"/>
    <w:tmpl w:val="54083A40"/>
    <w:lvl w:ilvl="0" w:tplc="3710D80A">
      <w:start w:val="1"/>
      <w:numFmt w:val="decimal"/>
      <w:lvlText w:val="%1."/>
      <w:lvlJc w:val="left"/>
      <w:pPr>
        <w:ind w:left="720" w:hanging="360"/>
      </w:pPr>
      <w:rPr>
        <w:rFonts w:asciiTheme="minorHAnsi" w:hAnsiTheme="minorHAnsi" w:hint="default"/>
        <w:sz w:val="28"/>
        <w:szCs w:val="2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C943EF"/>
    <w:multiLevelType w:val="hybridMultilevel"/>
    <w:tmpl w:val="EC0ADA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B"/>
    <w:rsid w:val="000619CC"/>
    <w:rsid w:val="00084563"/>
    <w:rsid w:val="000B69CC"/>
    <w:rsid w:val="001A0614"/>
    <w:rsid w:val="002B2351"/>
    <w:rsid w:val="002C0F6D"/>
    <w:rsid w:val="002F5A54"/>
    <w:rsid w:val="00482F6A"/>
    <w:rsid w:val="004C60AA"/>
    <w:rsid w:val="004D5A72"/>
    <w:rsid w:val="005109BE"/>
    <w:rsid w:val="00515622"/>
    <w:rsid w:val="005A4F31"/>
    <w:rsid w:val="00636343"/>
    <w:rsid w:val="00642F54"/>
    <w:rsid w:val="006434B6"/>
    <w:rsid w:val="0068204D"/>
    <w:rsid w:val="006A0B2B"/>
    <w:rsid w:val="006B674A"/>
    <w:rsid w:val="00772EDC"/>
    <w:rsid w:val="0083703A"/>
    <w:rsid w:val="00874C0B"/>
    <w:rsid w:val="00884B28"/>
    <w:rsid w:val="00891493"/>
    <w:rsid w:val="008F758E"/>
    <w:rsid w:val="0094314C"/>
    <w:rsid w:val="009A091C"/>
    <w:rsid w:val="009F388D"/>
    <w:rsid w:val="00A173D2"/>
    <w:rsid w:val="00A26C45"/>
    <w:rsid w:val="00A46B4A"/>
    <w:rsid w:val="00A46C57"/>
    <w:rsid w:val="00A67A7C"/>
    <w:rsid w:val="00AE65DA"/>
    <w:rsid w:val="00B11E53"/>
    <w:rsid w:val="00B6687B"/>
    <w:rsid w:val="00BB3BB3"/>
    <w:rsid w:val="00C0586D"/>
    <w:rsid w:val="00C445AC"/>
    <w:rsid w:val="00CA7FB2"/>
    <w:rsid w:val="00CF0EF9"/>
    <w:rsid w:val="00D520DE"/>
    <w:rsid w:val="00D652C3"/>
    <w:rsid w:val="00DD5A1D"/>
    <w:rsid w:val="00E02D90"/>
    <w:rsid w:val="00E03FE0"/>
    <w:rsid w:val="00E9075E"/>
    <w:rsid w:val="00EA0F16"/>
    <w:rsid w:val="00EC7535"/>
    <w:rsid w:val="00F03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875C9-A9CD-47C5-A801-833DE7EA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0B2B"/>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2B23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2351"/>
  </w:style>
  <w:style w:type="paragraph" w:styleId="Altbilgi">
    <w:name w:val="footer"/>
    <w:basedOn w:val="Normal"/>
    <w:link w:val="AltbilgiChar"/>
    <w:uiPriority w:val="99"/>
    <w:unhideWhenUsed/>
    <w:rsid w:val="002B23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2351"/>
  </w:style>
  <w:style w:type="paragraph" w:styleId="ListeParagraf">
    <w:name w:val="List Paragraph"/>
    <w:basedOn w:val="Normal"/>
    <w:uiPriority w:val="34"/>
    <w:qFormat/>
    <w:rsid w:val="00772EDC"/>
    <w:pPr>
      <w:ind w:left="720"/>
      <w:contextualSpacing/>
    </w:pPr>
  </w:style>
  <w:style w:type="paragraph" w:styleId="BalonMetni">
    <w:name w:val="Balloon Text"/>
    <w:basedOn w:val="Normal"/>
    <w:link w:val="BalonMetniChar"/>
    <w:uiPriority w:val="99"/>
    <w:semiHidden/>
    <w:unhideWhenUsed/>
    <w:rsid w:val="00E03F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3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11.jpg@01D2E9B3.5EB9FA30"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8AA28F3C5D844B7E579B04AAF2AA9" ma:contentTypeVersion="0" ma:contentTypeDescription="Create a new document." ma:contentTypeScope="" ma:versionID="5803e9ed58698c1755134157fbf9d5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793E7-FCA2-4F8F-BA21-1690BBFAB48D}"/>
</file>

<file path=customXml/itemProps2.xml><?xml version="1.0" encoding="utf-8"?>
<ds:datastoreItem xmlns:ds="http://schemas.openxmlformats.org/officeDocument/2006/customXml" ds:itemID="{0F098D65-FC2B-45C3-A14F-4AF8FB4B1870}"/>
</file>

<file path=customXml/itemProps3.xml><?xml version="1.0" encoding="utf-8"?>
<ds:datastoreItem xmlns:ds="http://schemas.openxmlformats.org/officeDocument/2006/customXml" ds:itemID="{C8175265-0B6A-4D3F-889F-D5F2A6449053}"/>
</file>

<file path=customXml/itemProps4.xml><?xml version="1.0" encoding="utf-8"?>
<ds:datastoreItem xmlns:ds="http://schemas.openxmlformats.org/officeDocument/2006/customXml" ds:itemID="{F9C1A024-521D-41A1-8657-29CA6EFA16B0}"/>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EnerjiSA</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Eray CELIK</dc:creator>
  <cp:keywords>Hizmete Özel</cp:keywords>
  <cp:lastModifiedBy>Eray CELIK</cp:lastModifiedBy>
  <cp:revision>4</cp:revision>
  <dcterms:created xsi:type="dcterms:W3CDTF">2018-04-03T05:30:00Z</dcterms:created>
  <dcterms:modified xsi:type="dcterms:W3CDTF">2018-04-06T08:32:00Z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1f6fe3b4-f3a2-40e7-9206-ea5602591a65</vt:lpwstr>
  </property>
  <property fmtid="{D5CDD505-2E9C-101B-9397-08002B2CF9AE}" pid="3" name="CLASSIFICATION">
    <vt:lpwstr>I4886p293727nO8</vt:lpwstr>
  </property>
  <property fmtid="{D5CDD505-2E9C-101B-9397-08002B2CF9AE}" pid="4" name="ContentTypeId">
    <vt:lpwstr>0x0101006078AA28F3C5D844B7E579B04AAF2AA9</vt:lpwstr>
  </property>
</Properties>
</file>